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6" w:rsidRPr="00977B08" w:rsidRDefault="00EA4575" w:rsidP="00EA457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977B08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KRITERIJI ZA OCJENJIVANJE VLADANJA UČENIKA OŠ GORJANI</w:t>
      </w:r>
    </w:p>
    <w:p w:rsidR="00EA4575" w:rsidRDefault="00EA4575" w:rsidP="00EA457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EA4575" w:rsidRPr="00977B08" w:rsidRDefault="00EA4575" w:rsidP="00EA4575">
      <w:pPr>
        <w:tabs>
          <w:tab w:val="left" w:pos="1380"/>
        </w:tabs>
        <w:jc w:val="both"/>
        <w:rPr>
          <w:sz w:val="22"/>
          <w:szCs w:val="22"/>
        </w:rPr>
      </w:pPr>
      <w:r w:rsidRPr="00977B08">
        <w:rPr>
          <w:sz w:val="22"/>
          <w:szCs w:val="22"/>
        </w:rPr>
        <w:t xml:space="preserve">Sukladno </w:t>
      </w:r>
      <w:proofErr w:type="spellStart"/>
      <w:r w:rsidRPr="00977B08">
        <w:rPr>
          <w:sz w:val="22"/>
          <w:szCs w:val="22"/>
        </w:rPr>
        <w:t>čl</w:t>
      </w:r>
      <w:proofErr w:type="spellEnd"/>
      <w:r w:rsidRPr="00977B08">
        <w:rPr>
          <w:sz w:val="22"/>
          <w:szCs w:val="22"/>
        </w:rPr>
        <w:t xml:space="preserve">. 73. stavak 1. Zakona o odgoju i obrazovanju u osnovnoj školi razrednik utvrđuje ocjenu iz vladanja učenika. </w:t>
      </w:r>
    </w:p>
    <w:p w:rsidR="00EA4575" w:rsidRPr="00977B08" w:rsidRDefault="00EA4575" w:rsidP="00EA4575">
      <w:pPr>
        <w:tabs>
          <w:tab w:val="left" w:pos="1380"/>
        </w:tabs>
        <w:jc w:val="both"/>
        <w:rPr>
          <w:sz w:val="22"/>
          <w:szCs w:val="22"/>
        </w:rPr>
      </w:pPr>
      <w:r w:rsidRPr="00977B08">
        <w:rPr>
          <w:sz w:val="22"/>
          <w:szCs w:val="22"/>
        </w:rPr>
        <w:t xml:space="preserve">Razredno vijeće će razmatrati ponašanje učenika te kroz prethodno navedene kriterije predložiti razredniku ocjenu iz vladanja </w:t>
      </w:r>
    </w:p>
    <w:p w:rsidR="00EA4575" w:rsidRPr="00977B08" w:rsidRDefault="00EA4575" w:rsidP="00EA4575">
      <w:pPr>
        <w:tabs>
          <w:tab w:val="left" w:pos="1380"/>
        </w:tabs>
        <w:jc w:val="both"/>
        <w:rPr>
          <w:sz w:val="22"/>
          <w:szCs w:val="22"/>
        </w:rPr>
      </w:pPr>
      <w:r w:rsidRPr="00977B08">
        <w:rPr>
          <w:sz w:val="22"/>
          <w:szCs w:val="22"/>
        </w:rPr>
        <w:t>Kriterije za izricanje ocjene iz vladanja učenika utvrdilo je Učiteljsko vijeće OŠ Gorjani.</w:t>
      </w:r>
    </w:p>
    <w:p w:rsidR="00EA4575" w:rsidRPr="00977B08" w:rsidRDefault="00EA4575" w:rsidP="00EA4575">
      <w:pPr>
        <w:tabs>
          <w:tab w:val="left" w:pos="1380"/>
        </w:tabs>
        <w:jc w:val="both"/>
        <w:rPr>
          <w:sz w:val="22"/>
          <w:szCs w:val="22"/>
        </w:rPr>
      </w:pPr>
      <w:r w:rsidRPr="00977B08">
        <w:rPr>
          <w:sz w:val="22"/>
          <w:szCs w:val="22"/>
        </w:rPr>
        <w:t xml:space="preserve">Važna napomena roditeljima: Uzorno vladanje učenika  u 7. i 8. razredu vrednuje se prilikom upisa u srednju školu. </w:t>
      </w:r>
    </w:p>
    <w:p w:rsidR="00EA4575" w:rsidRPr="00977B08" w:rsidRDefault="00EA4575" w:rsidP="00EA4575">
      <w:pPr>
        <w:pStyle w:val="Bezproreda"/>
        <w:rPr>
          <w:rFonts w:ascii="Times New Roman" w:hAnsi="Times New Roman" w:cs="Times New Roman"/>
          <w:lang w:val="hr-HR"/>
        </w:rPr>
      </w:pPr>
    </w:p>
    <w:p w:rsidR="00EA4575" w:rsidRPr="00977B08" w:rsidRDefault="00EA4575" w:rsidP="00EA4575">
      <w:pPr>
        <w:pStyle w:val="Tijeloteksta"/>
        <w:rPr>
          <w:b w:val="0"/>
          <w:i w:val="0"/>
          <w:sz w:val="22"/>
          <w:szCs w:val="22"/>
        </w:rPr>
      </w:pPr>
      <w:r w:rsidRPr="00977B08">
        <w:rPr>
          <w:b w:val="0"/>
          <w:i w:val="0"/>
          <w:sz w:val="22"/>
          <w:szCs w:val="22"/>
        </w:rPr>
        <w:t>Vladanje učenika je ponašanje učenika na nastavnim i svim drugim oblicima odgojno-obrazovnog p</w:t>
      </w:r>
      <w:r w:rsidRPr="00977B08">
        <w:rPr>
          <w:b w:val="0"/>
          <w:bCs w:val="0"/>
          <w:i w:val="0"/>
          <w:sz w:val="22"/>
          <w:szCs w:val="22"/>
        </w:rPr>
        <w:t>odručja praćenja</w:t>
      </w:r>
      <w:r w:rsidRPr="00977B08">
        <w:rPr>
          <w:b w:val="0"/>
          <w:bCs w:val="0"/>
          <w:sz w:val="22"/>
          <w:szCs w:val="22"/>
        </w:rPr>
        <w:t>:</w:t>
      </w:r>
    </w:p>
    <w:p w:rsidR="00EA4575" w:rsidRPr="00977B08" w:rsidRDefault="00EA4575" w:rsidP="00EA4575">
      <w:pPr>
        <w:rPr>
          <w:bCs/>
          <w:sz w:val="22"/>
          <w:szCs w:val="22"/>
        </w:rPr>
      </w:pPr>
      <w:r w:rsidRPr="00977B08">
        <w:rPr>
          <w:bCs/>
          <w:sz w:val="22"/>
          <w:szCs w:val="22"/>
        </w:rPr>
        <w:t>odnos prema radu, odnos prema učenicima, odnos prema učiteljima i ostalim djelatnicima, odnos prema školskoj imovini te društvenom i prirodnom okružju.</w:t>
      </w:r>
    </w:p>
    <w:p w:rsidR="00EA4575" w:rsidRPr="00977B08" w:rsidRDefault="00EA4575" w:rsidP="00EA4575">
      <w:pPr>
        <w:rPr>
          <w:bC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EA4575" w:rsidTr="000A6C7B">
        <w:tc>
          <w:tcPr>
            <w:tcW w:w="3294" w:type="dxa"/>
          </w:tcPr>
          <w:p w:rsidR="00EA4575" w:rsidRDefault="00EA4575" w:rsidP="00EA457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294" w:type="dxa"/>
            <w:shd w:val="clear" w:color="auto" w:fill="FABF8F" w:themeFill="accent6" w:themeFillTint="99"/>
          </w:tcPr>
          <w:p w:rsidR="00EA4575" w:rsidRPr="00653769" w:rsidRDefault="00CE6436" w:rsidP="00EA45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5376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UZORNO</w:t>
            </w:r>
          </w:p>
        </w:tc>
        <w:tc>
          <w:tcPr>
            <w:tcW w:w="3294" w:type="dxa"/>
            <w:shd w:val="clear" w:color="auto" w:fill="FABF8F" w:themeFill="accent6" w:themeFillTint="99"/>
          </w:tcPr>
          <w:p w:rsidR="00EA4575" w:rsidRPr="00653769" w:rsidRDefault="00CE6436" w:rsidP="00EA45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5376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DOBRO</w:t>
            </w:r>
          </w:p>
        </w:tc>
        <w:tc>
          <w:tcPr>
            <w:tcW w:w="3294" w:type="dxa"/>
            <w:shd w:val="clear" w:color="auto" w:fill="FABF8F" w:themeFill="accent6" w:themeFillTint="99"/>
          </w:tcPr>
          <w:p w:rsidR="00EA4575" w:rsidRPr="00653769" w:rsidRDefault="00CE6436" w:rsidP="00EA45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5376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LOŠE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Pohađanje nastave i ostalih aktivnosti</w:t>
            </w:r>
          </w:p>
        </w:tc>
        <w:tc>
          <w:tcPr>
            <w:tcW w:w="3294" w:type="dxa"/>
          </w:tcPr>
          <w:p w:rsidR="00EA4575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Redovito pohađanje nastave.</w:t>
            </w:r>
          </w:p>
          <w:p w:rsidR="000D4961" w:rsidRPr="00CE6436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Tolerira se najviše 3 kašnjenja do 10 min.</w:t>
            </w:r>
          </w:p>
        </w:tc>
        <w:tc>
          <w:tcPr>
            <w:tcW w:w="3294" w:type="dxa"/>
          </w:tcPr>
          <w:p w:rsidR="00EA4575" w:rsidRPr="00CE6436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 – 7 neopravdanih sati</w:t>
            </w:r>
          </w:p>
        </w:tc>
        <w:tc>
          <w:tcPr>
            <w:tcW w:w="3294" w:type="dxa"/>
          </w:tcPr>
          <w:p w:rsidR="00EA4575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Neredovito pohađa nastavu. </w:t>
            </w:r>
          </w:p>
          <w:p w:rsidR="000D4961" w:rsidRPr="00CE6436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Više od 7 neopravdanih sati.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Pravila kućnog reda</w:t>
            </w:r>
          </w:p>
        </w:tc>
        <w:tc>
          <w:tcPr>
            <w:tcW w:w="3294" w:type="dxa"/>
          </w:tcPr>
          <w:p w:rsidR="00EA4575" w:rsidRPr="00CE6436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Poštuje pravila kućnog reda.</w:t>
            </w:r>
          </w:p>
        </w:tc>
        <w:tc>
          <w:tcPr>
            <w:tcW w:w="3294" w:type="dxa"/>
          </w:tcPr>
          <w:p w:rsidR="00EA4575" w:rsidRPr="00CE6436" w:rsidRDefault="000D4961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Uglavnom poštuje pravila kućnog reda (</w:t>
            </w:r>
            <w:r w:rsidR="0085772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 pogrješke u polugodištu)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Učestalo krši pravila kućnog reda.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977B08" w:rsidRDefault="00977B08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Izvršavanje školskih obveza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Savjesno izvršava školske obveze (nošenje pribora, opreme, pisanje zadaće,…)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Izvršava 80% i više školskih obveza.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 većini slučajeva ne ispunjava svoje školske obveze.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Praćenje nastave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Aktivno prati i sudjeluje u nastavi.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 dodatnu motivaciju učitelja sudjeluje u nastavi.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sudjeluje u radu, zabavlja se, ne radi zadano.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977B08" w:rsidRDefault="00977B08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Odgovornost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Izrazito odgovoran, prihvaća odgovornost za svoje postupke.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Nije uvijek spreman preuzeti odgovornost za svoje postupke. </w:t>
            </w:r>
          </w:p>
        </w:tc>
        <w:tc>
          <w:tcPr>
            <w:tcW w:w="3294" w:type="dxa"/>
          </w:tcPr>
          <w:p w:rsidR="00EA4575" w:rsidRPr="00CE6436" w:rsidRDefault="00877CA3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prihvaća odgovornost za svoje postupke, raspravlja, u drugima traži krivce.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977B0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Upisi u bilježnicu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Do tri upisa u bilježnicu (blaži prekršaji).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Od tri do pet upisa u bilježnicu(bez obzira na težinu prekršaja).</w:t>
            </w:r>
          </w:p>
        </w:tc>
        <w:tc>
          <w:tcPr>
            <w:tcW w:w="3294" w:type="dxa"/>
          </w:tcPr>
          <w:p w:rsidR="00EA4575" w:rsidRPr="00CE6436" w:rsidRDefault="00877CA3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Više od pet upisa u bilježnicu.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Nije izrečena nikakva pedagoška mjera.</w:t>
            </w:r>
          </w:p>
        </w:tc>
        <w:tc>
          <w:tcPr>
            <w:tcW w:w="3294" w:type="dxa"/>
          </w:tcPr>
          <w:p w:rsidR="00EA4575" w:rsidRPr="00CE6436" w:rsidRDefault="00216137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Izrečena pismena opomena razrednika.</w:t>
            </w:r>
          </w:p>
        </w:tc>
        <w:tc>
          <w:tcPr>
            <w:tcW w:w="3294" w:type="dxa"/>
          </w:tcPr>
          <w:p w:rsidR="00EA4575" w:rsidRPr="00CE6436" w:rsidRDefault="00877CA3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Izrečeni: Ukor, strogi ukor,…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Odnos prema drugim učenicima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Poštuje druge učenike, služi kao uzor drugima.</w:t>
            </w:r>
          </w:p>
        </w:tc>
        <w:tc>
          <w:tcPr>
            <w:tcW w:w="3294" w:type="dxa"/>
          </w:tcPr>
          <w:p w:rsidR="00EA4575" w:rsidRPr="00CE6436" w:rsidRDefault="00216137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služi kao uzor, ali poštuje druge učenike.</w:t>
            </w:r>
          </w:p>
        </w:tc>
        <w:tc>
          <w:tcPr>
            <w:tcW w:w="3294" w:type="dxa"/>
          </w:tcPr>
          <w:p w:rsidR="00EA4575" w:rsidRPr="00CE6436" w:rsidRDefault="00877CA3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služi kao uzor, niti poštuje druge učenike (fizičko i verbalno nasilje).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EA4575" w:rsidRPr="00CE6436" w:rsidRDefault="00CE6436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Odnos prema učiteljima i ostalim zaposlenicima škole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Poštuje sve djelatnike škole i primjereno komunicira s njima.</w:t>
            </w:r>
          </w:p>
        </w:tc>
        <w:tc>
          <w:tcPr>
            <w:tcW w:w="3294" w:type="dxa"/>
          </w:tcPr>
          <w:p w:rsidR="00EA4575" w:rsidRPr="00CE6436" w:rsidRDefault="00216137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Uvažava i poštuje samo neke zaposlenike škole.</w:t>
            </w:r>
          </w:p>
        </w:tc>
        <w:tc>
          <w:tcPr>
            <w:tcW w:w="3294" w:type="dxa"/>
          </w:tcPr>
          <w:p w:rsidR="00EA4575" w:rsidRPr="00CE6436" w:rsidRDefault="00877CA3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poštuje niti učitelje niti ostale zaposlenike škole.</w:t>
            </w:r>
          </w:p>
        </w:tc>
      </w:tr>
      <w:tr w:rsidR="00EA4575" w:rsidTr="000A6C7B">
        <w:tc>
          <w:tcPr>
            <w:tcW w:w="3294" w:type="dxa"/>
            <w:shd w:val="clear" w:color="auto" w:fill="FFFF99"/>
          </w:tcPr>
          <w:p w:rsidR="00977B08" w:rsidRDefault="00977B08" w:rsidP="00CE643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EA4575" w:rsidRPr="00CE6436" w:rsidRDefault="00CE6436" w:rsidP="00977B0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E643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Imovina i okoliš škole</w:t>
            </w:r>
          </w:p>
        </w:tc>
        <w:tc>
          <w:tcPr>
            <w:tcW w:w="3294" w:type="dxa"/>
          </w:tcPr>
          <w:p w:rsidR="00EA4575" w:rsidRPr="00CE6436" w:rsidRDefault="00857724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Čuva školski okoliš i imovinu i brine se o njoj, dajući pozitivan primjer ostalim učenicima.</w:t>
            </w:r>
          </w:p>
        </w:tc>
        <w:tc>
          <w:tcPr>
            <w:tcW w:w="3294" w:type="dxa"/>
          </w:tcPr>
          <w:p w:rsidR="00EA4575" w:rsidRPr="00CE6436" w:rsidRDefault="00216137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uništava imovinu niti okoliš, ali u prigodama kad ju drugi učenici uništavaju, uglavnom je pasivni promatrač</w:t>
            </w:r>
          </w:p>
        </w:tc>
        <w:tc>
          <w:tcPr>
            <w:tcW w:w="3294" w:type="dxa"/>
          </w:tcPr>
          <w:p w:rsidR="00EA4575" w:rsidRPr="00CE6436" w:rsidRDefault="00877CA3" w:rsidP="00EA45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Namjerno uništava školsku imovinu i svojim ponašanjem daje loš primjer ostalim učenicima.</w:t>
            </w:r>
          </w:p>
        </w:tc>
      </w:tr>
    </w:tbl>
    <w:p w:rsidR="00857724" w:rsidRPr="00EA4575" w:rsidRDefault="00857724" w:rsidP="00877CA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57724" w:rsidRPr="00EA4575" w:rsidSect="00EA457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575"/>
    <w:rsid w:val="000A6C7B"/>
    <w:rsid w:val="000D4961"/>
    <w:rsid w:val="00216137"/>
    <w:rsid w:val="003262B6"/>
    <w:rsid w:val="00653769"/>
    <w:rsid w:val="00857724"/>
    <w:rsid w:val="00877CA3"/>
    <w:rsid w:val="0089524A"/>
    <w:rsid w:val="00977B08"/>
    <w:rsid w:val="00AF2E6E"/>
    <w:rsid w:val="00CE6436"/>
    <w:rsid w:val="00E13679"/>
    <w:rsid w:val="00EA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4575"/>
    <w:pPr>
      <w:spacing w:after="0" w:line="240" w:lineRule="auto"/>
    </w:pPr>
    <w:rPr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EA4575"/>
    <w:rPr>
      <w:b/>
      <w:bCs/>
      <w:i/>
      <w:iCs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EA4575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EA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</dc:creator>
  <cp:lastModifiedBy>Profa</cp:lastModifiedBy>
  <cp:revision>3</cp:revision>
  <dcterms:created xsi:type="dcterms:W3CDTF">2012-02-07T08:26:00Z</dcterms:created>
  <dcterms:modified xsi:type="dcterms:W3CDTF">2012-02-07T08:27:00Z</dcterms:modified>
</cp:coreProperties>
</file>